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48E04" w14:textId="77777777" w:rsidR="005D659B" w:rsidRPr="009F5029" w:rsidRDefault="005D659B" w:rsidP="005D659B">
      <w:pPr>
        <w:numPr>
          <w:ilvl w:val="0"/>
          <w:numId w:val="1"/>
        </w:numPr>
        <w:tabs>
          <w:tab w:val="left" w:pos="719"/>
        </w:tabs>
        <w:spacing w:line="213" w:lineRule="auto"/>
        <w:ind w:left="64" w:right="284" w:hanging="64"/>
      </w:pPr>
      <w:bookmarkStart w:id="0" w:name="_GoBack"/>
      <w:bookmarkEnd w:id="0"/>
      <w:r w:rsidRPr="009E1D61">
        <w:rPr>
          <w:b/>
          <w:bCs/>
          <w:u w:val="single"/>
        </w:rPr>
        <w:t>GROUND FOR DISMISSAL</w:t>
      </w:r>
      <w:r w:rsidRPr="009F5029">
        <w:rPr>
          <w:b/>
          <w:bCs/>
          <w:u w:val="single"/>
        </w:rPr>
        <w:t xml:space="preserve"> FROM STUDENT TEACHING</w:t>
      </w:r>
    </w:p>
    <w:p w14:paraId="7A78E4CD" w14:textId="77777777" w:rsidR="005D659B" w:rsidRPr="009F5029" w:rsidRDefault="005D659B" w:rsidP="005D659B">
      <w:pPr>
        <w:numPr>
          <w:ilvl w:val="1"/>
          <w:numId w:val="1"/>
        </w:numPr>
        <w:tabs>
          <w:tab w:val="left" w:pos="724"/>
        </w:tabs>
        <w:spacing w:line="212" w:lineRule="auto"/>
        <w:ind w:left="724" w:right="920" w:hanging="364"/>
      </w:pPr>
      <w:r w:rsidRPr="009F5029">
        <w:t>Candidates in a teacher education program are expected to conduct themselves in a professional manner at all times. Candidates may not engage in acts of behavior which are professionally inappropriate for teachers or which are unlawful for any citizen. If a candidate engages in any of the following acts, it may result in dismissal from student teaching:</w:t>
      </w:r>
    </w:p>
    <w:p w14:paraId="0AEE72E7" w14:textId="77777777" w:rsidR="005D659B" w:rsidRPr="009F5029" w:rsidRDefault="005D659B" w:rsidP="005D659B">
      <w:pPr>
        <w:spacing w:line="6" w:lineRule="exact"/>
      </w:pPr>
    </w:p>
    <w:p w14:paraId="78BAC714" w14:textId="77777777" w:rsidR="005D659B" w:rsidRPr="009F5029" w:rsidRDefault="005D659B" w:rsidP="005D659B">
      <w:pPr>
        <w:numPr>
          <w:ilvl w:val="2"/>
          <w:numId w:val="1"/>
        </w:numPr>
        <w:tabs>
          <w:tab w:val="left" w:pos="1084"/>
        </w:tabs>
        <w:spacing w:line="249" w:lineRule="auto"/>
        <w:ind w:left="1084" w:right="80" w:hanging="364"/>
        <w:rPr>
          <w:bCs/>
        </w:rPr>
      </w:pPr>
      <w:r w:rsidRPr="009F5029">
        <w:t xml:space="preserve">Candidates may not date pupils, parents of pupils enrolled in the school, or school or University personnel during the clinical experience. If you feel you are under any pressure to engage in inappropriate social activity, contact your </w:t>
      </w:r>
      <w:r w:rsidRPr="009F5029">
        <w:rPr>
          <w:bCs/>
        </w:rPr>
        <w:t>field instructor or the Associate Director of Clinical Studies.</w:t>
      </w:r>
    </w:p>
    <w:p w14:paraId="30744F31" w14:textId="77777777" w:rsidR="005D659B" w:rsidRPr="009F5029" w:rsidRDefault="005D659B" w:rsidP="005D659B">
      <w:pPr>
        <w:spacing w:line="15" w:lineRule="exact"/>
        <w:rPr>
          <w:bCs/>
        </w:rPr>
      </w:pPr>
    </w:p>
    <w:p w14:paraId="790EC744" w14:textId="77777777" w:rsidR="005D659B" w:rsidRPr="009F5029" w:rsidRDefault="005D659B" w:rsidP="005D659B">
      <w:pPr>
        <w:numPr>
          <w:ilvl w:val="2"/>
          <w:numId w:val="1"/>
        </w:numPr>
        <w:tabs>
          <w:tab w:val="left" w:pos="1084"/>
        </w:tabs>
        <w:spacing w:line="234" w:lineRule="auto"/>
        <w:ind w:left="1084" w:right="660" w:hanging="364"/>
        <w:rPr>
          <w:bCs/>
        </w:rPr>
      </w:pPr>
      <w:r w:rsidRPr="009F5029">
        <w:rPr>
          <w:bCs/>
        </w:rPr>
        <w:t xml:space="preserve">Candidates </w:t>
      </w:r>
      <w:r w:rsidRPr="009E1D61">
        <w:rPr>
          <w:bCs/>
        </w:rPr>
        <w:t>may not socialize</w:t>
      </w:r>
      <w:r>
        <w:rPr>
          <w:bCs/>
        </w:rPr>
        <w:t xml:space="preserve"> (in person or virtually)</w:t>
      </w:r>
      <w:r w:rsidRPr="009F5029">
        <w:rPr>
          <w:bCs/>
        </w:rPr>
        <w:t xml:space="preserve"> with school pupils except in an official capacity at officially sponsored school events.</w:t>
      </w:r>
    </w:p>
    <w:p w14:paraId="46FF6BF2" w14:textId="77777777" w:rsidR="005D659B" w:rsidRPr="009F5029" w:rsidRDefault="005D659B" w:rsidP="005D659B">
      <w:pPr>
        <w:spacing w:line="12" w:lineRule="exact"/>
        <w:rPr>
          <w:bCs/>
        </w:rPr>
      </w:pPr>
    </w:p>
    <w:p w14:paraId="4FDD00A6" w14:textId="77777777" w:rsidR="005D659B" w:rsidRPr="009F5029" w:rsidRDefault="005D659B" w:rsidP="005D659B">
      <w:pPr>
        <w:numPr>
          <w:ilvl w:val="2"/>
          <w:numId w:val="1"/>
        </w:numPr>
        <w:tabs>
          <w:tab w:val="left" w:pos="1084"/>
        </w:tabs>
        <w:spacing w:line="260" w:lineRule="auto"/>
        <w:ind w:left="1084" w:right="60" w:hanging="364"/>
        <w:rPr>
          <w:bCs/>
        </w:rPr>
      </w:pPr>
      <w:r w:rsidRPr="009F5029">
        <w:rPr>
          <w:bCs/>
        </w:rPr>
        <w:t xml:space="preserve">Candidates may not drink, smoke, be under the influence or be in the possession of alcoholic beverages or illegal drugs </w:t>
      </w:r>
      <w:r>
        <w:rPr>
          <w:bCs/>
        </w:rPr>
        <w:t>during virtual school functions</w:t>
      </w:r>
      <w:r w:rsidRPr="009F5029">
        <w:rPr>
          <w:bCs/>
        </w:rPr>
        <w:t>, nor with or in the presence of any school pupil(s).</w:t>
      </w:r>
    </w:p>
    <w:p w14:paraId="6C6EC30F" w14:textId="77777777" w:rsidR="005D659B" w:rsidRPr="009F5029" w:rsidRDefault="005D659B" w:rsidP="005D659B">
      <w:pPr>
        <w:spacing w:line="1" w:lineRule="exact"/>
        <w:rPr>
          <w:bCs/>
        </w:rPr>
      </w:pPr>
    </w:p>
    <w:p w14:paraId="703DFFB9" w14:textId="77777777" w:rsidR="005D659B" w:rsidRPr="009F5029" w:rsidRDefault="005D659B" w:rsidP="005D659B">
      <w:pPr>
        <w:numPr>
          <w:ilvl w:val="2"/>
          <w:numId w:val="1"/>
        </w:numPr>
        <w:tabs>
          <w:tab w:val="left" w:pos="1084"/>
        </w:tabs>
        <w:spacing w:line="235" w:lineRule="auto"/>
        <w:ind w:left="1084" w:right="120" w:hanging="364"/>
        <w:rPr>
          <w:bCs/>
        </w:rPr>
      </w:pPr>
      <w:r w:rsidRPr="009F5029">
        <w:rPr>
          <w:bCs/>
        </w:rPr>
        <w:t xml:space="preserve">Candidates may not use sexually explicit, obscene, profane, abusive, or derogatory language </w:t>
      </w:r>
      <w:r>
        <w:rPr>
          <w:bCs/>
        </w:rPr>
        <w:t>during virtual school functions</w:t>
      </w:r>
      <w:r w:rsidRPr="009F5029">
        <w:rPr>
          <w:bCs/>
        </w:rPr>
        <w:t>; nor may they suggest access to inappropriate material (e.g., on the Internet).</w:t>
      </w:r>
    </w:p>
    <w:p w14:paraId="15883DFE" w14:textId="77777777" w:rsidR="005D659B" w:rsidRPr="009F5029" w:rsidRDefault="005D659B" w:rsidP="005D659B">
      <w:pPr>
        <w:spacing w:line="19" w:lineRule="exact"/>
        <w:rPr>
          <w:bCs/>
        </w:rPr>
      </w:pPr>
    </w:p>
    <w:p w14:paraId="26BEEE66" w14:textId="77777777" w:rsidR="005D659B" w:rsidRPr="009F5029" w:rsidRDefault="005D659B" w:rsidP="005D659B">
      <w:pPr>
        <w:numPr>
          <w:ilvl w:val="2"/>
          <w:numId w:val="1"/>
        </w:numPr>
        <w:tabs>
          <w:tab w:val="left" w:pos="1084"/>
        </w:tabs>
        <w:spacing w:line="234" w:lineRule="auto"/>
        <w:ind w:left="1084" w:right="900" w:hanging="364"/>
        <w:rPr>
          <w:bCs/>
        </w:rPr>
      </w:pPr>
      <w:r w:rsidRPr="009F5029">
        <w:rPr>
          <w:bCs/>
        </w:rPr>
        <w:t xml:space="preserve">Candidates may not </w:t>
      </w:r>
      <w:r w:rsidRPr="009E1D61">
        <w:rPr>
          <w:bCs/>
        </w:rPr>
        <w:t>take pupils off school</w:t>
      </w:r>
      <w:r w:rsidRPr="009F5029">
        <w:rPr>
          <w:bCs/>
        </w:rPr>
        <w:t xml:space="preserve"> property unless accompanied by the Clinical Educator or another full-time employee assigned by the principal.</w:t>
      </w:r>
    </w:p>
    <w:p w14:paraId="05CC9095" w14:textId="77777777" w:rsidR="005D659B" w:rsidRPr="009F5029" w:rsidRDefault="005D659B" w:rsidP="005D659B">
      <w:pPr>
        <w:spacing w:line="11" w:lineRule="exact"/>
        <w:rPr>
          <w:bCs/>
        </w:rPr>
      </w:pPr>
    </w:p>
    <w:p w14:paraId="13D34939" w14:textId="77777777" w:rsidR="005D659B" w:rsidRPr="009F5029" w:rsidRDefault="005D659B" w:rsidP="005D659B">
      <w:pPr>
        <w:numPr>
          <w:ilvl w:val="2"/>
          <w:numId w:val="1"/>
        </w:numPr>
        <w:tabs>
          <w:tab w:val="left" w:pos="1084"/>
        </w:tabs>
        <w:spacing w:line="234" w:lineRule="auto"/>
        <w:ind w:left="1084" w:right="520" w:hanging="364"/>
        <w:rPr>
          <w:bCs/>
        </w:rPr>
      </w:pPr>
      <w:r w:rsidRPr="009F5029">
        <w:rPr>
          <w:bCs/>
        </w:rPr>
        <w:t>Candidates may not leave school early, be late to school or seminars, or have absences on a consistent basis.</w:t>
      </w:r>
    </w:p>
    <w:p w14:paraId="2BACBFD0" w14:textId="77777777" w:rsidR="005D659B" w:rsidRPr="009F5029" w:rsidRDefault="005D659B" w:rsidP="005D659B">
      <w:pPr>
        <w:spacing w:line="11" w:lineRule="exact"/>
        <w:rPr>
          <w:bCs/>
        </w:rPr>
      </w:pPr>
    </w:p>
    <w:p w14:paraId="1D475991" w14:textId="77777777" w:rsidR="005D659B" w:rsidRPr="0036143A" w:rsidRDefault="005D659B" w:rsidP="005D659B">
      <w:pPr>
        <w:numPr>
          <w:ilvl w:val="2"/>
          <w:numId w:val="1"/>
        </w:numPr>
        <w:tabs>
          <w:tab w:val="left" w:pos="1084"/>
        </w:tabs>
        <w:ind w:left="1084" w:hanging="364"/>
        <w:rPr>
          <w:bCs/>
        </w:rPr>
      </w:pPr>
      <w:r w:rsidRPr="009F5029">
        <w:rPr>
          <w:bCs/>
        </w:rPr>
        <w:t>Candidates must not exhibit any behaviors that interfere with the school’s learning environment.</w:t>
      </w:r>
    </w:p>
    <w:p w14:paraId="5543E2B2" w14:textId="77777777" w:rsidR="005D659B" w:rsidRPr="00B205C2" w:rsidRDefault="005D659B" w:rsidP="005D659B">
      <w:pPr>
        <w:numPr>
          <w:ilvl w:val="2"/>
          <w:numId w:val="1"/>
        </w:numPr>
        <w:tabs>
          <w:tab w:val="left" w:pos="1084"/>
        </w:tabs>
        <w:ind w:left="1084" w:hanging="364"/>
        <w:rPr>
          <w:bCs/>
        </w:rPr>
      </w:pPr>
      <w:r w:rsidRPr="00B205C2">
        <w:rPr>
          <w:bCs/>
        </w:rPr>
        <w:t>Candidates must adhere to the professional dispositions including the consistent effort to create, use, and implement inclusive and non-discriminatory classroom materials and instructional methods (including, but not limited to, teaching strategies, communication with pupils, and management techniques).</w:t>
      </w:r>
    </w:p>
    <w:p w14:paraId="285CAA65" w14:textId="77777777" w:rsidR="005D659B" w:rsidRPr="009F5029" w:rsidRDefault="005D659B" w:rsidP="005D659B">
      <w:pPr>
        <w:spacing w:line="302" w:lineRule="exact"/>
        <w:rPr>
          <w:bCs/>
        </w:rPr>
      </w:pPr>
    </w:p>
    <w:p w14:paraId="0601B578" w14:textId="77777777" w:rsidR="005D659B" w:rsidRPr="009F5029" w:rsidRDefault="005D659B" w:rsidP="005D659B">
      <w:pPr>
        <w:numPr>
          <w:ilvl w:val="1"/>
          <w:numId w:val="1"/>
        </w:numPr>
        <w:tabs>
          <w:tab w:val="left" w:pos="724"/>
        </w:tabs>
        <w:spacing w:line="249" w:lineRule="auto"/>
        <w:ind w:left="724" w:right="140" w:hanging="364"/>
        <w:rPr>
          <w:bCs/>
        </w:rPr>
      </w:pPr>
      <w:r w:rsidRPr="009F5029">
        <w:rPr>
          <w:bCs/>
        </w:rPr>
        <w:t xml:space="preserve">If at any time your conduct causes the Clinical Educator, school/district administrator, or the Field Instructor to determine that your </w:t>
      </w:r>
      <w:r>
        <w:rPr>
          <w:bCs/>
        </w:rPr>
        <w:t>involvement</w:t>
      </w:r>
      <w:r w:rsidRPr="009F5029">
        <w:rPr>
          <w:bCs/>
        </w:rPr>
        <w:t xml:space="preserve"> in the classroom has become detrimental to the well-being, safety, and/or educational program of the pupils in the class, you will be removed from your school and your placement could be terminated by the University.</w:t>
      </w:r>
    </w:p>
    <w:p w14:paraId="0A9B68BB" w14:textId="77777777" w:rsidR="005D659B" w:rsidRPr="009F5029" w:rsidRDefault="005D659B" w:rsidP="005D659B">
      <w:pPr>
        <w:spacing w:line="278" w:lineRule="exact"/>
        <w:rPr>
          <w:b/>
          <w:bCs/>
        </w:rPr>
      </w:pPr>
    </w:p>
    <w:p w14:paraId="070D80E3" w14:textId="77777777" w:rsidR="005D659B" w:rsidRPr="009F5029" w:rsidRDefault="005D659B" w:rsidP="005D659B">
      <w:pPr>
        <w:numPr>
          <w:ilvl w:val="1"/>
          <w:numId w:val="1"/>
        </w:numPr>
        <w:tabs>
          <w:tab w:val="left" w:pos="724"/>
        </w:tabs>
        <w:spacing w:line="237" w:lineRule="auto"/>
        <w:ind w:left="724" w:right="1040" w:hanging="364"/>
        <w:jc w:val="both"/>
        <w:rPr>
          <w:bCs/>
        </w:rPr>
      </w:pPr>
      <w:r w:rsidRPr="009F5029">
        <w:rPr>
          <w:bCs/>
        </w:rPr>
        <w:t>As a result of any serious violation of the student code of conduct and/or the professional dispositions policy, you could be removed from your school and the University could terminate your placement.</w:t>
      </w:r>
    </w:p>
    <w:p w14:paraId="2C164BB9" w14:textId="77777777" w:rsidR="005D659B" w:rsidRPr="009F5029" w:rsidRDefault="005D659B" w:rsidP="005D659B">
      <w:pPr>
        <w:spacing w:line="287" w:lineRule="exact"/>
        <w:rPr>
          <w:b/>
          <w:bCs/>
        </w:rPr>
      </w:pPr>
    </w:p>
    <w:p w14:paraId="6E63C814" w14:textId="77777777" w:rsidR="005D659B" w:rsidRPr="00AA2EA6" w:rsidRDefault="005D659B" w:rsidP="005D659B">
      <w:pPr>
        <w:numPr>
          <w:ilvl w:val="1"/>
          <w:numId w:val="1"/>
        </w:numPr>
        <w:tabs>
          <w:tab w:val="left" w:pos="724"/>
        </w:tabs>
        <w:ind w:left="724" w:right="380" w:hanging="364"/>
        <w:rPr>
          <w:bCs/>
        </w:rPr>
      </w:pPr>
      <w:r w:rsidRPr="00AA2EA6">
        <w:rPr>
          <w:bCs/>
        </w:rPr>
        <w:t xml:space="preserve">You will be withdrawn from your student teaching placement if 1) the Clinical Educator decides that you cannot return to the classroom due to your behavior, 2) your performance is consistently unsatisfactory or 3) there is not satisfactory progress on assignments. </w:t>
      </w:r>
    </w:p>
    <w:p w14:paraId="04FF993C" w14:textId="77777777" w:rsidR="005D659B" w:rsidRDefault="005D659B" w:rsidP="005D659B">
      <w:pPr>
        <w:pStyle w:val="ListParagraph"/>
        <w:numPr>
          <w:ilvl w:val="0"/>
          <w:numId w:val="2"/>
        </w:numPr>
        <w:tabs>
          <w:tab w:val="left" w:pos="724"/>
        </w:tabs>
        <w:ind w:right="380"/>
        <w:rPr>
          <w:bCs/>
        </w:rPr>
      </w:pPr>
      <w:r w:rsidRPr="00AA2EA6">
        <w:rPr>
          <w:bCs/>
        </w:rPr>
        <w:t>The field instructor will determine if you have passed the course.</w:t>
      </w:r>
    </w:p>
    <w:p w14:paraId="5CA650E9" w14:textId="77777777" w:rsidR="005D659B" w:rsidRDefault="005D659B" w:rsidP="005D659B">
      <w:pPr>
        <w:pStyle w:val="ListParagraph"/>
        <w:numPr>
          <w:ilvl w:val="0"/>
          <w:numId w:val="2"/>
        </w:numPr>
        <w:tabs>
          <w:tab w:val="left" w:pos="724"/>
        </w:tabs>
        <w:ind w:right="380"/>
        <w:rPr>
          <w:bCs/>
        </w:rPr>
      </w:pPr>
      <w:r w:rsidRPr="00AA2EA6">
        <w:rPr>
          <w:bCs/>
        </w:rPr>
        <w:lastRenderedPageBreak/>
        <w:t xml:space="preserve">Please note that a single score of </w:t>
      </w:r>
      <w:r>
        <w:rPr>
          <w:bCs/>
        </w:rPr>
        <w:t>a 1</w:t>
      </w:r>
      <w:r w:rsidRPr="00AA2EA6">
        <w:rPr>
          <w:bCs/>
        </w:rPr>
        <w:t xml:space="preserve"> in the dispositions section of the summative evaluation may result in a disposition hearing (see the official professional dispositions policy on the OCS website at </w:t>
      </w:r>
      <w:hyperlink r:id="rId5">
        <w:r w:rsidRPr="00AA2EA6">
          <w:rPr>
            <w:bCs/>
            <w:color w:val="0000FF"/>
            <w:u w:val="single"/>
          </w:rPr>
          <w:t>www.ocs.udel.edu</w:t>
        </w:r>
        <w:r w:rsidRPr="00AA2EA6">
          <w:rPr>
            <w:bCs/>
            <w:color w:val="000000"/>
          </w:rPr>
          <w:t>)</w:t>
        </w:r>
      </w:hyperlink>
    </w:p>
    <w:p w14:paraId="737AEABC" w14:textId="77777777" w:rsidR="005D659B" w:rsidRDefault="005D659B" w:rsidP="005D659B">
      <w:pPr>
        <w:pStyle w:val="ListParagraph"/>
        <w:tabs>
          <w:tab w:val="left" w:pos="724"/>
        </w:tabs>
        <w:ind w:left="1084" w:right="380"/>
        <w:rPr>
          <w:bCs/>
        </w:rPr>
      </w:pPr>
    </w:p>
    <w:p w14:paraId="4D8C244F" w14:textId="77777777" w:rsidR="005D659B" w:rsidRPr="00AA2EA6" w:rsidRDefault="005D659B" w:rsidP="005D659B">
      <w:pPr>
        <w:pStyle w:val="ListParagraph"/>
        <w:ind w:left="360" w:right="380"/>
        <w:rPr>
          <w:bCs/>
        </w:rPr>
      </w:pPr>
      <w:r w:rsidRPr="00AA2EA6">
        <w:rPr>
          <w:bCs/>
        </w:rPr>
        <w:t>Failure to abide by these regulations may result in judicial action by the University of Delaware, legal action, and/or failure of student teaching.</w:t>
      </w:r>
    </w:p>
    <w:p w14:paraId="1459C7D7" w14:textId="77777777" w:rsidR="005D659B" w:rsidRDefault="005D659B" w:rsidP="005D659B">
      <w:pPr>
        <w:rPr>
          <w:b/>
          <w:bCs/>
        </w:rPr>
      </w:pPr>
    </w:p>
    <w:p w14:paraId="53542E1D" w14:textId="77777777" w:rsidR="005D659B" w:rsidRDefault="005D659B" w:rsidP="005D659B">
      <w:pPr>
        <w:spacing w:line="200" w:lineRule="exact"/>
        <w:rPr>
          <w:sz w:val="20"/>
          <w:szCs w:val="20"/>
        </w:rPr>
      </w:pPr>
    </w:p>
    <w:p w14:paraId="5E63A150" w14:textId="77777777" w:rsidR="005D659B" w:rsidRPr="008A455B" w:rsidRDefault="005D659B" w:rsidP="005D659B">
      <w:pPr>
        <w:rPr>
          <w:b/>
          <w:sz w:val="20"/>
          <w:szCs w:val="20"/>
          <w:u w:val="single"/>
        </w:rPr>
      </w:pPr>
      <w:bookmarkStart w:id="1" w:name="page12"/>
      <w:bookmarkEnd w:id="1"/>
      <w:r w:rsidRPr="008A455B">
        <w:rPr>
          <w:b/>
          <w:bCs/>
          <w:u w:val="single"/>
        </w:rPr>
        <w:t>APPEAL PROCESS</w:t>
      </w:r>
    </w:p>
    <w:p w14:paraId="2F3050FB" w14:textId="77777777" w:rsidR="005D659B" w:rsidRPr="008A455B" w:rsidRDefault="005D659B" w:rsidP="005D659B">
      <w:pPr>
        <w:spacing w:line="286" w:lineRule="exact"/>
        <w:rPr>
          <w:sz w:val="20"/>
          <w:szCs w:val="20"/>
        </w:rPr>
      </w:pPr>
    </w:p>
    <w:p w14:paraId="6B9F7BA2" w14:textId="77777777" w:rsidR="005D659B" w:rsidRPr="008A455B" w:rsidRDefault="005D659B" w:rsidP="005D659B">
      <w:pPr>
        <w:spacing w:line="238" w:lineRule="auto"/>
        <w:rPr>
          <w:sz w:val="20"/>
          <w:szCs w:val="20"/>
        </w:rPr>
      </w:pPr>
      <w:r w:rsidRPr="008A455B">
        <w:rPr>
          <w:bCs/>
        </w:rPr>
        <w:t xml:space="preserve">If a teacher candidate does not pass a student teaching placement, then he/she can request a new placement. If the </w:t>
      </w:r>
      <w:r>
        <w:rPr>
          <w:bCs/>
        </w:rPr>
        <w:t>Program Coordinator, F</w:t>
      </w:r>
      <w:r w:rsidRPr="008A455B">
        <w:rPr>
          <w:bCs/>
        </w:rPr>
        <w:t xml:space="preserve">ield </w:t>
      </w:r>
      <w:r>
        <w:rPr>
          <w:bCs/>
        </w:rPr>
        <w:t>I</w:t>
      </w:r>
      <w:r w:rsidRPr="008A455B">
        <w:rPr>
          <w:bCs/>
        </w:rPr>
        <w:t>nstructor and the Associate Director of Clinical Studies deny the student’s request for another placement, then the teacher candidate can appeal the decision, in writing, to the University Council on Teacher Education (UCTE). The committee will review the appeal and approve or deny the request for a second and final placement.</w:t>
      </w:r>
    </w:p>
    <w:p w14:paraId="6056D682" w14:textId="77777777" w:rsidR="005D659B" w:rsidRPr="008A455B" w:rsidRDefault="005D659B" w:rsidP="005D659B">
      <w:pPr>
        <w:spacing w:line="287" w:lineRule="exact"/>
        <w:rPr>
          <w:sz w:val="20"/>
          <w:szCs w:val="20"/>
        </w:rPr>
      </w:pPr>
    </w:p>
    <w:p w14:paraId="7E701F5A" w14:textId="77777777" w:rsidR="005D659B" w:rsidRDefault="005D659B" w:rsidP="005D659B">
      <w:pPr>
        <w:spacing w:line="234" w:lineRule="auto"/>
        <w:ind w:right="540"/>
        <w:rPr>
          <w:b/>
          <w:bCs/>
        </w:rPr>
      </w:pPr>
    </w:p>
    <w:p w14:paraId="2E6FAFA4" w14:textId="77777777" w:rsidR="005D659B" w:rsidRDefault="005D659B" w:rsidP="005D659B">
      <w:pPr>
        <w:pBdr>
          <w:bottom w:val="single" w:sz="12" w:space="1" w:color="auto"/>
        </w:pBdr>
        <w:spacing w:line="234" w:lineRule="auto"/>
        <w:ind w:right="540"/>
        <w:rPr>
          <w:b/>
          <w:bCs/>
        </w:rPr>
      </w:pPr>
    </w:p>
    <w:p w14:paraId="0DB1E872" w14:textId="77777777" w:rsidR="005D659B" w:rsidRDefault="005D659B" w:rsidP="005D659B">
      <w:pPr>
        <w:spacing w:line="234" w:lineRule="auto"/>
        <w:ind w:right="540"/>
        <w:rPr>
          <w:b/>
          <w:bCs/>
        </w:rPr>
      </w:pPr>
    </w:p>
    <w:p w14:paraId="7D2F03EC" w14:textId="77777777" w:rsidR="005D659B" w:rsidRDefault="005D659B" w:rsidP="005D659B">
      <w:pPr>
        <w:spacing w:line="234" w:lineRule="auto"/>
        <w:ind w:right="540"/>
        <w:rPr>
          <w:b/>
          <w:bCs/>
        </w:rPr>
      </w:pPr>
    </w:p>
    <w:p w14:paraId="0FB682E0" w14:textId="77777777" w:rsidR="005D659B" w:rsidRDefault="005D659B" w:rsidP="005D659B">
      <w:pPr>
        <w:spacing w:line="234" w:lineRule="auto"/>
        <w:ind w:right="540"/>
        <w:rPr>
          <w:b/>
          <w:bCs/>
        </w:rPr>
      </w:pPr>
      <w:r w:rsidRPr="00AB4DF6">
        <w:rPr>
          <w:b/>
          <w:bCs/>
        </w:rPr>
        <w:t>I have read and am aware of the Guidelines for Professional Conduct During Clinical Experiences and Grounds for Dismissal from Student Teaching.</w:t>
      </w:r>
    </w:p>
    <w:p w14:paraId="67C794E1" w14:textId="77777777" w:rsidR="005D659B" w:rsidRDefault="005D659B" w:rsidP="005D659B">
      <w:pPr>
        <w:spacing w:line="234" w:lineRule="auto"/>
        <w:ind w:right="540"/>
        <w:rPr>
          <w:rFonts w:ascii="TimesNewRomanPSMT" w:hAnsi="TimesNewRomanPSMT" w:cs="TimesNewRomanPSMT"/>
        </w:rPr>
      </w:pPr>
    </w:p>
    <w:p w14:paraId="6EA75CD8" w14:textId="77777777" w:rsidR="005D659B" w:rsidRDefault="005D659B" w:rsidP="005D659B">
      <w:pPr>
        <w:spacing w:line="234" w:lineRule="auto"/>
        <w:ind w:right="540"/>
        <w:rPr>
          <w:rFonts w:ascii="TimesNewRomanPSMT" w:hAnsi="TimesNewRomanPSMT" w:cs="TimesNewRomanPSMT"/>
        </w:rPr>
      </w:pPr>
      <w:r w:rsidRPr="00AB4DF6">
        <w:rPr>
          <w:rFonts w:ascii="TimesNewRomanPSMT" w:hAnsi="TimesNewRomanPSMT" w:cs="TimesNewRomanPSMT"/>
        </w:rPr>
        <w:t>Signature of Teacher Candidate ___________________________________Date ___________</w:t>
      </w:r>
    </w:p>
    <w:p w14:paraId="25A1B3E5" w14:textId="77777777" w:rsidR="005D659B" w:rsidRDefault="005D659B" w:rsidP="005D659B">
      <w:pPr>
        <w:spacing w:line="234" w:lineRule="auto"/>
        <w:ind w:right="540"/>
        <w:rPr>
          <w:rFonts w:ascii="TimesNewRomanPSMT" w:hAnsi="TimesNewRomanPSMT" w:cs="TimesNewRomanPSMT"/>
        </w:rPr>
      </w:pPr>
    </w:p>
    <w:p w14:paraId="477F218C" w14:textId="77777777" w:rsidR="005D659B" w:rsidRDefault="005D659B" w:rsidP="005D659B">
      <w:pPr>
        <w:spacing w:line="234" w:lineRule="auto"/>
        <w:ind w:right="540"/>
        <w:rPr>
          <w:rFonts w:ascii="TimesNewRomanPSMT" w:hAnsi="TimesNewRomanPSMT" w:cs="TimesNewRomanPSMT"/>
        </w:rPr>
      </w:pPr>
      <w:r w:rsidRPr="00AB4DF6">
        <w:rPr>
          <w:rFonts w:ascii="TimesNewRomanPSMT" w:hAnsi="TimesNewRomanPSMT" w:cs="TimesNewRomanPSMT"/>
        </w:rPr>
        <w:t>Printed Name of Teacher Candidate</w:t>
      </w:r>
      <w:r>
        <w:rPr>
          <w:rFonts w:ascii="TimesNewRomanPSMT" w:hAnsi="TimesNewRomanPSMT" w:cs="TimesNewRomanPSMT"/>
        </w:rPr>
        <w:t xml:space="preserve"> </w:t>
      </w:r>
      <w:r w:rsidRPr="00AB4DF6">
        <w:rPr>
          <w:rFonts w:ascii="TimesNewRomanPSMT" w:hAnsi="TimesNewRomanPSMT" w:cs="TimesNewRomanPSMT"/>
        </w:rPr>
        <w:t>________________________________Date ___________</w:t>
      </w:r>
    </w:p>
    <w:p w14:paraId="34A64F3F" w14:textId="77777777" w:rsidR="00E24044" w:rsidRDefault="0039368D"/>
    <w:sectPr w:rsidR="00E24044" w:rsidSect="00602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4D0D"/>
    <w:multiLevelType w:val="hybridMultilevel"/>
    <w:tmpl w:val="C276AC2E"/>
    <w:lvl w:ilvl="0" w:tplc="38FA4664">
      <w:start w:val="4"/>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 w15:restartNumberingAfterBreak="0">
    <w:nsid w:val="77465F01"/>
    <w:multiLevelType w:val="hybridMultilevel"/>
    <w:tmpl w:val="7F72C72A"/>
    <w:lvl w:ilvl="0" w:tplc="0F048ED8">
      <w:start w:val="61"/>
      <w:numFmt w:val="upperLetter"/>
      <w:lvlText w:val="%1."/>
      <w:lvlJc w:val="left"/>
    </w:lvl>
    <w:lvl w:ilvl="1" w:tplc="7D64E0E4">
      <w:start w:val="1"/>
      <w:numFmt w:val="upperLetter"/>
      <w:lvlText w:val="%2."/>
      <w:lvlJc w:val="left"/>
    </w:lvl>
    <w:lvl w:ilvl="2" w:tplc="05E4574C">
      <w:start w:val="1"/>
      <w:numFmt w:val="decimal"/>
      <w:lvlText w:val="%3."/>
      <w:lvlJc w:val="left"/>
    </w:lvl>
    <w:lvl w:ilvl="3" w:tplc="9768F04C">
      <w:numFmt w:val="decimal"/>
      <w:lvlText w:val=""/>
      <w:lvlJc w:val="left"/>
    </w:lvl>
    <w:lvl w:ilvl="4" w:tplc="2408B8B0">
      <w:numFmt w:val="decimal"/>
      <w:lvlText w:val=""/>
      <w:lvlJc w:val="left"/>
    </w:lvl>
    <w:lvl w:ilvl="5" w:tplc="E4145C28">
      <w:numFmt w:val="decimal"/>
      <w:lvlText w:val=""/>
      <w:lvlJc w:val="left"/>
    </w:lvl>
    <w:lvl w:ilvl="6" w:tplc="054CA26C">
      <w:numFmt w:val="decimal"/>
      <w:lvlText w:val=""/>
      <w:lvlJc w:val="left"/>
    </w:lvl>
    <w:lvl w:ilvl="7" w:tplc="9850D79C">
      <w:numFmt w:val="decimal"/>
      <w:lvlText w:val=""/>
      <w:lvlJc w:val="left"/>
    </w:lvl>
    <w:lvl w:ilvl="8" w:tplc="F7007876">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9B"/>
    <w:rsid w:val="0039368D"/>
    <w:rsid w:val="004B5196"/>
    <w:rsid w:val="005A0510"/>
    <w:rsid w:val="005D659B"/>
    <w:rsid w:val="00602AF5"/>
    <w:rsid w:val="00EA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FFBE74"/>
  <w14:defaultImageDpi w14:val="32767"/>
  <w15:chartTrackingRefBased/>
  <w15:docId w15:val="{DED50A85-2DA8-4843-8F20-54EA8CCC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659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cs.ude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2021-08-21T01:21:00Z</dcterms:created>
  <dcterms:modified xsi:type="dcterms:W3CDTF">2021-08-21T01:21:00Z</dcterms:modified>
</cp:coreProperties>
</file>